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349"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671"/>
      </w:tblGrid>
      <w:tr w:rsidR="00DD582D" w14:paraId="4E998A87" w14:textId="77777777" w:rsidTr="00B64111">
        <w:tc>
          <w:tcPr>
            <w:tcW w:w="4678" w:type="dxa"/>
            <w:vAlign w:val="center"/>
          </w:tcPr>
          <w:p w14:paraId="441212D4" w14:textId="77777777" w:rsidR="00DD582D" w:rsidRPr="00DD582D" w:rsidRDefault="00DD582D" w:rsidP="00CE1A2B">
            <w:pPr>
              <w:spacing w:before="120"/>
              <w:jc w:val="center"/>
              <w:rPr>
                <w:sz w:val="26"/>
                <w:szCs w:val="26"/>
                <w:lang w:val="vi-VN"/>
              </w:rPr>
            </w:pPr>
            <w:r w:rsidRPr="00DD582D">
              <w:rPr>
                <w:sz w:val="26"/>
                <w:szCs w:val="26"/>
                <w:lang w:val="vi-VN"/>
              </w:rPr>
              <w:t>BỆNH VIỆN UNG BƯỚU THANH HÓA</w:t>
            </w:r>
          </w:p>
        </w:tc>
        <w:tc>
          <w:tcPr>
            <w:tcW w:w="5671" w:type="dxa"/>
            <w:vAlign w:val="center"/>
          </w:tcPr>
          <w:p w14:paraId="046916BA" w14:textId="77777777" w:rsidR="00DD582D" w:rsidRPr="00DD582D" w:rsidRDefault="00DD582D" w:rsidP="00CE1A2B">
            <w:pPr>
              <w:spacing w:before="120"/>
              <w:jc w:val="center"/>
              <w:rPr>
                <w:b/>
                <w:sz w:val="26"/>
                <w:szCs w:val="26"/>
                <w:lang w:val="vi-VN"/>
              </w:rPr>
            </w:pPr>
            <w:r w:rsidRPr="00DD582D">
              <w:rPr>
                <w:b/>
                <w:sz w:val="26"/>
                <w:szCs w:val="26"/>
                <w:lang w:val="vi-VN"/>
              </w:rPr>
              <w:t>CỘNG HÒA XÃ HỘI CHỦ NGHĨA VIỆT NAM</w:t>
            </w:r>
          </w:p>
        </w:tc>
      </w:tr>
      <w:tr w:rsidR="00DD582D" w14:paraId="56732F58" w14:textId="77777777" w:rsidTr="00B64111">
        <w:tc>
          <w:tcPr>
            <w:tcW w:w="4678" w:type="dxa"/>
            <w:vAlign w:val="center"/>
          </w:tcPr>
          <w:p w14:paraId="73643648" w14:textId="77777777" w:rsidR="00DD582D" w:rsidRPr="00B64111" w:rsidRDefault="00DD582D" w:rsidP="00B64111">
            <w:pPr>
              <w:spacing w:before="60"/>
              <w:jc w:val="center"/>
              <w:rPr>
                <w:b/>
                <w:sz w:val="26"/>
                <w:szCs w:val="26"/>
                <w:lang w:val="vi-VN"/>
              </w:rPr>
            </w:pPr>
            <w:r w:rsidRPr="00B64111">
              <w:rPr>
                <w:b/>
                <w:sz w:val="26"/>
                <w:szCs w:val="26"/>
                <w:lang w:val="vi-VN"/>
              </w:rPr>
              <w:t>KHOA DƯỢC - VTYT</w:t>
            </w:r>
          </w:p>
        </w:tc>
        <w:tc>
          <w:tcPr>
            <w:tcW w:w="5671" w:type="dxa"/>
            <w:vAlign w:val="center"/>
          </w:tcPr>
          <w:p w14:paraId="66834ECE" w14:textId="77777777" w:rsidR="00DD582D" w:rsidRPr="00DD582D" w:rsidRDefault="00DD582D" w:rsidP="00B64111">
            <w:pPr>
              <w:spacing w:before="60"/>
              <w:jc w:val="center"/>
              <w:rPr>
                <w:b/>
                <w:sz w:val="28"/>
                <w:szCs w:val="28"/>
                <w:lang w:val="vi-VN"/>
              </w:rPr>
            </w:pPr>
            <w:r>
              <w:rPr>
                <w:b/>
                <w:sz w:val="28"/>
                <w:szCs w:val="28"/>
                <w:lang w:val="vi-VN"/>
              </w:rPr>
              <w:t>Độc lập – Tự do – Hạnh phúc</w:t>
            </w:r>
          </w:p>
        </w:tc>
      </w:tr>
    </w:tbl>
    <w:p w14:paraId="7B8AE56C" w14:textId="7BC2F148" w:rsidR="00725519" w:rsidRDefault="00B64111" w:rsidP="00933545">
      <w:pPr>
        <w:shd w:val="clear" w:color="auto" w:fill="FFFFFF"/>
        <w:spacing w:before="120" w:after="0"/>
        <w:jc w:val="right"/>
        <w:rPr>
          <w:b/>
          <w:sz w:val="28"/>
          <w:szCs w:val="28"/>
        </w:rPr>
      </w:pPr>
      <w:r>
        <w:rPr>
          <w:b/>
          <w:noProof/>
          <w:sz w:val="28"/>
          <w:szCs w:val="28"/>
        </w:rPr>
        <mc:AlternateContent>
          <mc:Choice Requires="wps">
            <w:drawing>
              <wp:anchor distT="0" distB="0" distL="114300" distR="114300" simplePos="0" relativeHeight="251660288" behindDoc="0" locked="0" layoutInCell="1" allowOverlap="1" wp14:anchorId="68EFB440" wp14:editId="4EE2E114">
                <wp:simplePos x="0" y="0"/>
                <wp:positionH relativeFrom="column">
                  <wp:posOffset>3339465</wp:posOffset>
                </wp:positionH>
                <wp:positionV relativeFrom="paragraph">
                  <wp:posOffset>28575</wp:posOffset>
                </wp:positionV>
                <wp:extent cx="18097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9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6B97F60"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2.95pt,2.25pt" to="405.4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" strokecolor="black [3200]" strokeweight=".5pt">
                <v:stroke joinstyle="miter"/>
              </v:line>
            </w:pict>
          </mc:Fallback>
        </mc:AlternateContent>
      </w:r>
      <w:r>
        <w:rPr>
          <w:b/>
          <w:noProof/>
          <w:sz w:val="28"/>
          <w:szCs w:val="28"/>
        </w:rPr>
        <mc:AlternateContent>
          <mc:Choice Requires="wps">
            <w:drawing>
              <wp:anchor distT="0" distB="0" distL="114300" distR="114300" simplePos="0" relativeHeight="251659264" behindDoc="0" locked="0" layoutInCell="1" allowOverlap="1" wp14:anchorId="70E19055" wp14:editId="186B0571">
                <wp:simplePos x="0" y="0"/>
                <wp:positionH relativeFrom="column">
                  <wp:posOffset>310515</wp:posOffset>
                </wp:positionH>
                <wp:positionV relativeFrom="paragraph">
                  <wp:posOffset>28575</wp:posOffset>
                </wp:positionV>
                <wp:extent cx="12573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59CE77FF"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4.45pt,2.25pt" to="123.4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" strokecolor="black [3200]" strokeweight=".5pt">
                <v:stroke joinstyle="miter"/>
              </v:line>
            </w:pict>
          </mc:Fallback>
        </mc:AlternateContent>
      </w:r>
    </w:p>
    <w:p w14:paraId="6189383C" w14:textId="77777777" w:rsidR="00933545" w:rsidRPr="00933545" w:rsidRDefault="00933545" w:rsidP="00933545">
      <w:pPr>
        <w:shd w:val="clear" w:color="auto" w:fill="FFFFFF"/>
        <w:spacing w:before="120" w:after="0"/>
        <w:jc w:val="right"/>
        <w:rPr>
          <w:b/>
          <w:sz w:val="28"/>
          <w:szCs w:val="28"/>
        </w:rPr>
      </w:pPr>
    </w:p>
    <w:p w14:paraId="23831496" w14:textId="4701FE7A" w:rsidR="00991153" w:rsidRPr="00725519" w:rsidRDefault="00CE1A2B" w:rsidP="00991153">
      <w:pPr>
        <w:shd w:val="clear" w:color="auto" w:fill="FFFFFF"/>
        <w:spacing w:after="120"/>
        <w:contextualSpacing/>
        <w:jc w:val="center"/>
        <w:rPr>
          <w:b/>
          <w:sz w:val="40"/>
          <w:szCs w:val="40"/>
        </w:rPr>
      </w:pPr>
      <w:r w:rsidRPr="00725519">
        <w:rPr>
          <w:b/>
          <w:sz w:val="40"/>
          <w:szCs w:val="40"/>
        </w:rPr>
        <w:t>THÔNG TIN THUỐC</w:t>
      </w:r>
    </w:p>
    <w:p w14:paraId="19678A60" w14:textId="63CF6655" w:rsidR="009A4FEC" w:rsidRDefault="0042346D" w:rsidP="00991153">
      <w:pPr>
        <w:shd w:val="clear" w:color="auto" w:fill="FFFFFF"/>
        <w:spacing w:before="240" w:after="240"/>
        <w:jc w:val="center"/>
        <w:rPr>
          <w:b/>
          <w:sz w:val="32"/>
          <w:szCs w:val="32"/>
        </w:rPr>
      </w:pPr>
      <w:r w:rsidRPr="0042346D">
        <w:rPr>
          <w:b/>
          <w:sz w:val="32"/>
          <w:szCs w:val="32"/>
        </w:rPr>
        <w:t>KH</w:t>
      </w:r>
      <w:r>
        <w:rPr>
          <w:b/>
          <w:sz w:val="32"/>
          <w:szCs w:val="32"/>
        </w:rPr>
        <w:t>UYẾN CÁO VỀ VIỆC SỬ DỤNG HỢP LÝ KETAMIN</w:t>
      </w:r>
    </w:p>
    <w:p w14:paraId="165B1501" w14:textId="2FB608D7" w:rsidR="0030459A" w:rsidRDefault="0030459A" w:rsidP="00991153">
      <w:pPr>
        <w:pStyle w:val="NormalWeb"/>
        <w:spacing w:before="0" w:beforeAutospacing="0" w:after="0" w:afterAutospacing="0" w:line="360" w:lineRule="auto"/>
        <w:ind w:firstLine="709"/>
        <w:contextualSpacing/>
        <w:jc w:val="both"/>
        <w:rPr>
          <w:b/>
          <w:bCs/>
          <w:sz w:val="28"/>
          <w:szCs w:val="28"/>
        </w:rPr>
      </w:pPr>
      <w:r>
        <w:rPr>
          <w:b/>
          <w:bCs/>
          <w:sz w:val="28"/>
          <w:szCs w:val="28"/>
        </w:rPr>
        <w:t>1. Thông tin khuyến cáo từ ANSM</w:t>
      </w:r>
    </w:p>
    <w:p w14:paraId="14005231" w14:textId="573DB605" w:rsidR="0097731B" w:rsidRPr="0097731B" w:rsidRDefault="00DD0D45" w:rsidP="00991153">
      <w:pPr>
        <w:pStyle w:val="NormalWeb"/>
        <w:spacing w:before="0" w:beforeAutospacing="0" w:after="0" w:afterAutospacing="0" w:line="360" w:lineRule="auto"/>
        <w:ind w:firstLine="709"/>
        <w:contextualSpacing/>
        <w:jc w:val="both"/>
        <w:rPr>
          <w:sz w:val="28"/>
          <w:szCs w:val="28"/>
        </w:rPr>
      </w:pPr>
      <w:r>
        <w:rPr>
          <w:b/>
          <w:bCs/>
          <w:sz w:val="28"/>
          <w:szCs w:val="28"/>
        </w:rPr>
        <w:t xml:space="preserve">Ngày 30/8/2023, </w:t>
      </w:r>
      <w:r w:rsidR="0097731B" w:rsidRPr="0097731B">
        <w:rPr>
          <w:b/>
          <w:bCs/>
          <w:sz w:val="28"/>
          <w:szCs w:val="28"/>
        </w:rPr>
        <w:t>ANSM (</w:t>
      </w:r>
      <w:r w:rsidR="0097731B" w:rsidRPr="0097731B">
        <w:rPr>
          <w:b/>
          <w:sz w:val="28"/>
          <w:szCs w:val="28"/>
        </w:rPr>
        <w:t>Cơ quan Quốc gia về An toàn Thuốc và Sản phẩm Y tế</w:t>
      </w:r>
      <w:r w:rsidR="00C961EC">
        <w:rPr>
          <w:b/>
          <w:sz w:val="28"/>
          <w:szCs w:val="28"/>
        </w:rPr>
        <w:t xml:space="preserve"> của Pháp</w:t>
      </w:r>
      <w:r w:rsidR="0097731B" w:rsidRPr="0097731B">
        <w:rPr>
          <w:b/>
          <w:sz w:val="28"/>
          <w:szCs w:val="28"/>
        </w:rPr>
        <w:t xml:space="preserve">) </w:t>
      </w:r>
      <w:r w:rsidR="005E5291">
        <w:rPr>
          <w:b/>
          <w:bCs/>
          <w:sz w:val="28"/>
          <w:szCs w:val="28"/>
        </w:rPr>
        <w:t>khuyến cáo</w:t>
      </w:r>
      <w:r w:rsidR="0097731B" w:rsidRPr="0097731B">
        <w:rPr>
          <w:b/>
          <w:bCs/>
          <w:sz w:val="28"/>
          <w:szCs w:val="28"/>
        </w:rPr>
        <w:t xml:space="preserve"> những nguy cơ khi sử dụng ketamin và một số biện pháp cần thực hiện, đặc biệt khi sử dụng thuốc trong thời gian dài để điều trị đau kéo dài hoặc đau mạn tính.</w:t>
      </w:r>
      <w:bookmarkStart w:id="0" w:name="_GoBack"/>
      <w:bookmarkEnd w:id="0"/>
    </w:p>
    <w:p w14:paraId="0CBCF496" w14:textId="51E822B6"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sz w:val="28"/>
          <w:szCs w:val="28"/>
        </w:rPr>
        <w:t>Ketamin là một loại thuốc được chỉ định trong gây mê, đã được sử dụng trong nhiều năm để kiểm soát cơn đau dai dẳng trong chăm sóc giảm nhẹ và cơn đau mạn tính. Ketamin cũng được sử dụng ngoài mục đích y tế do có tính hướng thần.</w:t>
      </w:r>
    </w:p>
    <w:p w14:paraId="3B40F31D" w14:textId="766F328B"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sz w:val="28"/>
          <w:szCs w:val="28"/>
        </w:rPr>
        <w:t>Hiện nay, một số biến chứng nghiêm trọng do sử dụng ketamin vẫn được báo cáo thường xuyên bất kể mục đích sử dụng, bao gồm: tổn thương gan nghiêm trọng, tổn thương ống mật và tiết niệu. Các biến chứng này thường là hậu quả của việc sử dụng ketamin kéo dài hoặc lặp lại nhiều lần, bên cạnh nguy cơ gây ra tình trạng lệ thuộc thuốc. </w:t>
      </w:r>
    </w:p>
    <w:p w14:paraId="41C50539" w14:textId="6C9A8EB3"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sz w:val="28"/>
          <w:szCs w:val="28"/>
        </w:rPr>
        <w:t>Mạng lưới các trung tâm Cảnh giác dược tại Pháp đã nhận thấy có sự gia tăng sử dụng thuốc chứa ketamin trên toàn thế giới, trong đó có sử dụng kéo dài để điều trị đau mạn tính, bao gồm cả chứng đau cơ xơ hoá (sử dụng off-label). Đồng thời, có sự gia tăng việc tiêu thụ bất hợp pháp ketamin (với mục đích giải trí trong các bữa tiệc hoặc trong quan hệ tình dục). Việc sử dụng ketamin kéo dài hoặc lặp lại nhiều lần sẽ gây ra nguy cơ tổn thương nghiêm trọng đối với gan và ống mật (viêm gan, ứ mật hoặc viêm đường mật) hoặc viêm đường tiết niệu (viêm bàng quang kẽ không nhiễm khuẩn), ngoài ra có thể gây ảnh hưởng đến thận (suy thận cấp, thận ứ nước,...).</w:t>
      </w:r>
    </w:p>
    <w:p w14:paraId="71FE8F15" w14:textId="4DFED9F4"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sz w:val="28"/>
          <w:szCs w:val="28"/>
        </w:rPr>
        <w:lastRenderedPageBreak/>
        <w:t>Ngoài ra, có nhiều các báo cáo về sai sót trong sử dụng thuốc do nhầm lẫn về liều của thuốc chứa ketamin.</w:t>
      </w:r>
    </w:p>
    <w:p w14:paraId="4DC3FD1B" w14:textId="77777777"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b/>
          <w:bCs/>
          <w:sz w:val="28"/>
          <w:szCs w:val="28"/>
        </w:rPr>
        <w:t>Thông tin dành cho nhân viên y tế</w:t>
      </w:r>
    </w:p>
    <w:p w14:paraId="794A216F" w14:textId="4E43D78C"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sz w:val="28"/>
          <w:szCs w:val="28"/>
        </w:rPr>
        <w:t>Khi kê đơn ketamin, để giảm nguy cơ tổn thương gan mật và thận tiết niệu, nên:</w:t>
      </w:r>
    </w:p>
    <w:p w14:paraId="6F5F5157" w14:textId="2A310BF6"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sz w:val="28"/>
          <w:szCs w:val="28"/>
        </w:rPr>
        <w:t>- Tuân thủ mức liều khuyến cáo và không kê đơn ketamin trong thời gian dài.</w:t>
      </w:r>
    </w:p>
    <w:p w14:paraId="0D7E78D9" w14:textId="67060B66"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sz w:val="28"/>
          <w:szCs w:val="28"/>
        </w:rPr>
        <w:t>- Thường xuyên theo dõi chức năng gan (transaminase, GGT, phosphatase kiềm và bilirubin), chức năng thận và xét nghiệm tế bào nước tiểu. </w:t>
      </w:r>
    </w:p>
    <w:p w14:paraId="30585142" w14:textId="4E554485"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sz w:val="28"/>
          <w:szCs w:val="28"/>
        </w:rPr>
        <w:t>- Yêu cầu bệnh nhân theo dõi sự xuất hiện của máu trong nước tiểu hoặc dấu hiệu đau vùng chậu, đây là những triệu chứng cảnh báo tổn thương đường tiết niệu và cần được bác sĩ thăm khám.</w:t>
      </w:r>
    </w:p>
    <w:p w14:paraId="6B17404B" w14:textId="619C54F4"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sz w:val="28"/>
          <w:szCs w:val="28"/>
        </w:rPr>
        <w:t>- Cân nhắc ngừng điều trị trong trường hợp có rối loạn chức năng gan hoặc thận-tiết niệu và hội chẩn với các bác sĩ chuyên khoa Tâm thần nếu cần thiết. </w:t>
      </w:r>
    </w:p>
    <w:p w14:paraId="09173226" w14:textId="343095EC" w:rsidR="0097731B" w:rsidRPr="0097731B" w:rsidRDefault="0097731B" w:rsidP="00991153">
      <w:pPr>
        <w:pStyle w:val="NormalWeb"/>
        <w:spacing w:before="0" w:beforeAutospacing="0" w:after="0" w:afterAutospacing="0" w:line="360" w:lineRule="auto"/>
        <w:ind w:firstLine="709"/>
        <w:contextualSpacing/>
        <w:jc w:val="both"/>
        <w:rPr>
          <w:sz w:val="28"/>
          <w:szCs w:val="28"/>
        </w:rPr>
      </w:pPr>
      <w:r w:rsidRPr="0097731B">
        <w:rPr>
          <w:sz w:val="28"/>
          <w:szCs w:val="28"/>
        </w:rPr>
        <w:t>- Để tránh sai sót về thuốc do nhầm lẫn về liều khi pha dung dịch tiêm truyền, cần đọc kỹ thông tin liên quan đến nồng độ thuốc ghi trên ống tiêm.</w:t>
      </w:r>
    </w:p>
    <w:p w14:paraId="4B9B5229" w14:textId="757DF5E5" w:rsidR="006E2E82" w:rsidRDefault="0097731B" w:rsidP="009A3EDB">
      <w:pPr>
        <w:pStyle w:val="NormalWeb"/>
        <w:spacing w:before="0" w:beforeAutospacing="0" w:after="0" w:afterAutospacing="0" w:line="360" w:lineRule="auto"/>
        <w:ind w:firstLine="709"/>
        <w:contextualSpacing/>
        <w:jc w:val="both"/>
        <w:rPr>
          <w:sz w:val="28"/>
          <w:szCs w:val="28"/>
        </w:rPr>
      </w:pPr>
      <w:r w:rsidRPr="0097731B">
        <w:rPr>
          <w:sz w:val="28"/>
          <w:szCs w:val="28"/>
        </w:rPr>
        <w:t>Tổn thương gan mật và/hoặc thận tiết niệu ở bệnh nhân có thể liên quan đến việc sử dụng ketamin nhiều lần để giải trí trong các bữa tiệc hoặc trong quan hệ tình dục. Trong trường hợp này, bên cạnh việc điều trị các biến chứng trên, bệnh nhân cần đến khám bác sĩ chuyên khoa Tâm thần.</w:t>
      </w:r>
    </w:p>
    <w:p w14:paraId="7C4F5191" w14:textId="57D33DB1" w:rsidR="0030459A" w:rsidRDefault="0030459A" w:rsidP="009A3EDB">
      <w:pPr>
        <w:pStyle w:val="NormalWeb"/>
        <w:spacing w:before="0" w:beforeAutospacing="0" w:after="0" w:afterAutospacing="0" w:line="360" w:lineRule="auto"/>
        <w:ind w:firstLine="709"/>
        <w:contextualSpacing/>
        <w:jc w:val="both"/>
        <w:rPr>
          <w:b/>
          <w:sz w:val="28"/>
          <w:szCs w:val="28"/>
        </w:rPr>
      </w:pPr>
      <w:r w:rsidRPr="0030459A">
        <w:rPr>
          <w:b/>
          <w:sz w:val="28"/>
          <w:szCs w:val="28"/>
        </w:rPr>
        <w:t>2. Thông tin sản phẩm Ketamin Hydrochloride injection</w:t>
      </w:r>
      <w:r>
        <w:rPr>
          <w:b/>
          <w:sz w:val="28"/>
          <w:szCs w:val="28"/>
        </w:rPr>
        <w:t xml:space="preserve"> 500mg/10ml</w:t>
      </w:r>
      <w:r w:rsidR="00C33925">
        <w:rPr>
          <w:b/>
          <w:sz w:val="28"/>
          <w:szCs w:val="28"/>
        </w:rPr>
        <w:t xml:space="preserve"> đang được sử dụng tại Bệnh viện</w:t>
      </w:r>
    </w:p>
    <w:p w14:paraId="15E0B1DC" w14:textId="08CC42D5" w:rsidR="0030459A" w:rsidRPr="00BA6E8B" w:rsidRDefault="00C33925" w:rsidP="009A3EDB">
      <w:pPr>
        <w:pStyle w:val="NormalWeb"/>
        <w:spacing w:before="0" w:beforeAutospacing="0" w:after="0" w:afterAutospacing="0" w:line="360" w:lineRule="auto"/>
        <w:ind w:firstLine="709"/>
        <w:contextualSpacing/>
        <w:jc w:val="both"/>
        <w:rPr>
          <w:b/>
          <w:i/>
          <w:sz w:val="28"/>
          <w:szCs w:val="28"/>
        </w:rPr>
      </w:pPr>
      <w:r w:rsidRPr="00BA6E8B">
        <w:rPr>
          <w:b/>
          <w:i/>
          <w:sz w:val="28"/>
          <w:szCs w:val="28"/>
        </w:rPr>
        <w:t>* Ketamin được dùng:</w:t>
      </w:r>
    </w:p>
    <w:p w14:paraId="1F2C9230" w14:textId="6889D794" w:rsidR="00C33925" w:rsidRDefault="00C33925" w:rsidP="009A3EDB">
      <w:pPr>
        <w:pStyle w:val="NormalWeb"/>
        <w:spacing w:before="0" w:beforeAutospacing="0" w:after="0" w:afterAutospacing="0" w:line="360" w:lineRule="auto"/>
        <w:ind w:firstLine="709"/>
        <w:contextualSpacing/>
        <w:jc w:val="both"/>
        <w:rPr>
          <w:sz w:val="28"/>
          <w:szCs w:val="28"/>
        </w:rPr>
      </w:pPr>
      <w:r>
        <w:rPr>
          <w:sz w:val="28"/>
          <w:szCs w:val="28"/>
        </w:rPr>
        <w:t>- Như 1 tác nhân gây mê đơn độc dùng trong chẩn đoán và thủ thuật ngoại khoa.</w:t>
      </w:r>
    </w:p>
    <w:p w14:paraId="0B203916" w14:textId="451F9BC8" w:rsidR="00C33925" w:rsidRDefault="00C33925" w:rsidP="009A3EDB">
      <w:pPr>
        <w:pStyle w:val="NormalWeb"/>
        <w:spacing w:before="0" w:beforeAutospacing="0" w:after="0" w:afterAutospacing="0" w:line="360" w:lineRule="auto"/>
        <w:ind w:firstLine="709"/>
        <w:contextualSpacing/>
        <w:jc w:val="both"/>
        <w:rPr>
          <w:sz w:val="28"/>
          <w:szCs w:val="28"/>
        </w:rPr>
      </w:pPr>
      <w:r>
        <w:rPr>
          <w:sz w:val="28"/>
          <w:szCs w:val="28"/>
        </w:rPr>
        <w:t>- Để khởi mê trước khi dùng các thuốc gây mê toàn thân khác.</w:t>
      </w:r>
    </w:p>
    <w:p w14:paraId="68A81821" w14:textId="36EDEAB7" w:rsidR="00C33925" w:rsidRDefault="00C33925" w:rsidP="009A3EDB">
      <w:pPr>
        <w:pStyle w:val="NormalWeb"/>
        <w:spacing w:before="0" w:beforeAutospacing="0" w:after="0" w:afterAutospacing="0" w:line="360" w:lineRule="auto"/>
        <w:ind w:firstLine="709"/>
        <w:contextualSpacing/>
        <w:jc w:val="both"/>
        <w:rPr>
          <w:sz w:val="28"/>
          <w:szCs w:val="28"/>
        </w:rPr>
      </w:pPr>
      <w:r>
        <w:rPr>
          <w:sz w:val="28"/>
          <w:szCs w:val="28"/>
        </w:rPr>
        <w:t>- Để hỗ trợ các thuốc gây mê khác.</w:t>
      </w:r>
    </w:p>
    <w:p w14:paraId="4736C485" w14:textId="39529277" w:rsidR="00643B0A" w:rsidRDefault="009D13E8" w:rsidP="009D13E8">
      <w:pPr>
        <w:pStyle w:val="NormalWeb"/>
        <w:spacing w:before="0" w:beforeAutospacing="0" w:after="0" w:afterAutospacing="0" w:line="360" w:lineRule="auto"/>
        <w:ind w:firstLine="709"/>
        <w:contextualSpacing/>
        <w:jc w:val="both"/>
        <w:rPr>
          <w:sz w:val="28"/>
          <w:szCs w:val="28"/>
        </w:rPr>
      </w:pPr>
      <w:r w:rsidRPr="00BA6E8B">
        <w:rPr>
          <w:b/>
          <w:i/>
          <w:sz w:val="28"/>
          <w:szCs w:val="28"/>
        </w:rPr>
        <w:t>* Chống chỉ định:</w:t>
      </w:r>
      <w:r>
        <w:rPr>
          <w:sz w:val="28"/>
          <w:szCs w:val="28"/>
        </w:rPr>
        <w:t xml:space="preserve"> </w:t>
      </w:r>
      <w:r w:rsidR="00643B0A">
        <w:rPr>
          <w:sz w:val="28"/>
          <w:szCs w:val="28"/>
        </w:rPr>
        <w:t>Ở người cao huyết áp vì dễ có tai biến nghiêm trọng. Không dùng cho bệnh nhân sản giật và tiền sản giật.</w:t>
      </w:r>
    </w:p>
    <w:p w14:paraId="2FC9B33A" w14:textId="1E078CC3" w:rsidR="009D13E8" w:rsidRPr="00BA6E8B" w:rsidRDefault="009D13E8" w:rsidP="009D13E8">
      <w:pPr>
        <w:pStyle w:val="NormalWeb"/>
        <w:spacing w:before="0" w:beforeAutospacing="0" w:after="0" w:afterAutospacing="0" w:line="360" w:lineRule="auto"/>
        <w:ind w:firstLine="709"/>
        <w:contextualSpacing/>
        <w:jc w:val="both"/>
        <w:rPr>
          <w:b/>
          <w:i/>
          <w:sz w:val="28"/>
          <w:szCs w:val="28"/>
        </w:rPr>
      </w:pPr>
      <w:r w:rsidRPr="00BA6E8B">
        <w:rPr>
          <w:b/>
          <w:i/>
          <w:sz w:val="28"/>
          <w:szCs w:val="28"/>
        </w:rPr>
        <w:t xml:space="preserve">* Liều lượng, cách dùng: </w:t>
      </w:r>
    </w:p>
    <w:p w14:paraId="22AFD79A" w14:textId="2E6FC737" w:rsidR="00337FDE" w:rsidRDefault="00337FDE" w:rsidP="009D13E8">
      <w:pPr>
        <w:pStyle w:val="NormalWeb"/>
        <w:spacing w:before="0" w:beforeAutospacing="0" w:after="0" w:afterAutospacing="0" w:line="360" w:lineRule="auto"/>
        <w:ind w:firstLine="709"/>
        <w:contextualSpacing/>
        <w:jc w:val="both"/>
        <w:rPr>
          <w:sz w:val="28"/>
          <w:szCs w:val="28"/>
        </w:rPr>
      </w:pPr>
      <w:r>
        <w:rPr>
          <w:sz w:val="28"/>
          <w:szCs w:val="28"/>
        </w:rPr>
        <w:lastRenderedPageBreak/>
        <w:t>Gây mê đơn độc:</w:t>
      </w:r>
    </w:p>
    <w:p w14:paraId="251BF6A4" w14:textId="7751464C" w:rsidR="009D13E8" w:rsidRDefault="00337FDE" w:rsidP="009D13E8">
      <w:pPr>
        <w:pStyle w:val="NormalWeb"/>
        <w:spacing w:before="0" w:beforeAutospacing="0" w:after="0" w:afterAutospacing="0" w:line="360" w:lineRule="auto"/>
        <w:ind w:firstLine="709"/>
        <w:contextualSpacing/>
        <w:jc w:val="both"/>
        <w:rPr>
          <w:sz w:val="28"/>
          <w:szCs w:val="28"/>
        </w:rPr>
      </w:pPr>
      <w:r>
        <w:rPr>
          <w:sz w:val="28"/>
          <w:szCs w:val="28"/>
        </w:rPr>
        <w:t>- T</w:t>
      </w:r>
      <w:r w:rsidR="009D13E8">
        <w:rPr>
          <w:sz w:val="28"/>
          <w:szCs w:val="28"/>
        </w:rPr>
        <w:t>iêm tĩnh mạch</w:t>
      </w:r>
      <w:r>
        <w:rPr>
          <w:sz w:val="28"/>
          <w:szCs w:val="28"/>
        </w:rPr>
        <w:t>:</w:t>
      </w:r>
      <w:r w:rsidR="009D13E8">
        <w:rPr>
          <w:sz w:val="28"/>
          <w:szCs w:val="28"/>
        </w:rPr>
        <w:t xml:space="preserve"> </w:t>
      </w:r>
      <w:r w:rsidR="00A9328F">
        <w:rPr>
          <w:sz w:val="28"/>
          <w:szCs w:val="28"/>
        </w:rPr>
        <w:t xml:space="preserve">1 liều </w:t>
      </w:r>
      <w:r w:rsidR="009D13E8">
        <w:rPr>
          <w:sz w:val="28"/>
          <w:szCs w:val="28"/>
        </w:rPr>
        <w:t>2mg/kg cơ thể thường có tác dụng trong vòng 30 giây sau tiêm và tác dụng gây mê thường kéo dài 5 – 10 phút. Liều tiêm bắp 10 mg/kg cơ thể có thể gây mê trong vòng 3-4 phút sau tiêm và tác dụng gây mê kéo dài 12 – 25 phút.</w:t>
      </w:r>
    </w:p>
    <w:p w14:paraId="5069F83E" w14:textId="2A3340F5" w:rsidR="00337FDE" w:rsidRDefault="00337FDE" w:rsidP="009D13E8">
      <w:pPr>
        <w:pStyle w:val="NormalWeb"/>
        <w:spacing w:before="0" w:beforeAutospacing="0" w:after="0" w:afterAutospacing="0" w:line="360" w:lineRule="auto"/>
        <w:ind w:firstLine="709"/>
        <w:contextualSpacing/>
        <w:jc w:val="both"/>
        <w:rPr>
          <w:sz w:val="28"/>
          <w:szCs w:val="28"/>
        </w:rPr>
      </w:pPr>
      <w:r>
        <w:rPr>
          <w:sz w:val="28"/>
          <w:szCs w:val="28"/>
        </w:rPr>
        <w:t>- Truyền tĩnh mạch:</w:t>
      </w:r>
    </w:p>
    <w:p w14:paraId="66C56E12" w14:textId="48F43468" w:rsidR="009D13E8" w:rsidRDefault="009D13E8" w:rsidP="009D13E8">
      <w:pPr>
        <w:pStyle w:val="NormalWeb"/>
        <w:spacing w:before="0" w:beforeAutospacing="0" w:after="0" w:afterAutospacing="0" w:line="360" w:lineRule="auto"/>
        <w:ind w:firstLine="709"/>
        <w:contextualSpacing/>
        <w:jc w:val="both"/>
        <w:rPr>
          <w:sz w:val="28"/>
          <w:szCs w:val="28"/>
        </w:rPr>
      </w:pPr>
      <w:r>
        <w:rPr>
          <w:sz w:val="28"/>
          <w:szCs w:val="28"/>
        </w:rPr>
        <w:t>+ Truyền tĩnh mạch liên tục: nồng độ thích hợp là 1mg/ml trong dextrose.</w:t>
      </w:r>
    </w:p>
    <w:p w14:paraId="5B8B57F7" w14:textId="44E4D1F0" w:rsidR="000C3465" w:rsidRDefault="000C3465" w:rsidP="009D13E8">
      <w:pPr>
        <w:pStyle w:val="NormalWeb"/>
        <w:spacing w:before="0" w:beforeAutospacing="0" w:after="0" w:afterAutospacing="0" w:line="360" w:lineRule="auto"/>
        <w:ind w:firstLine="709"/>
        <w:contextualSpacing/>
        <w:jc w:val="both"/>
        <w:rPr>
          <w:sz w:val="28"/>
          <w:szCs w:val="28"/>
        </w:rPr>
      </w:pPr>
      <w:r>
        <w:rPr>
          <w:sz w:val="28"/>
          <w:szCs w:val="28"/>
        </w:rPr>
        <w:t>+ Khởi mê: Tổng liều khởi mê truyền tĩnh mạch tương ứng với 0,5 – 2 mg/kg.</w:t>
      </w:r>
    </w:p>
    <w:p w14:paraId="1956B50A" w14:textId="548553C7" w:rsidR="00337FDE" w:rsidRDefault="00337FDE" w:rsidP="009D13E8">
      <w:pPr>
        <w:pStyle w:val="NormalWeb"/>
        <w:spacing w:before="0" w:beforeAutospacing="0" w:after="0" w:afterAutospacing="0" w:line="360" w:lineRule="auto"/>
        <w:ind w:firstLine="709"/>
        <w:contextualSpacing/>
        <w:jc w:val="both"/>
        <w:rPr>
          <w:sz w:val="28"/>
          <w:szCs w:val="28"/>
        </w:rPr>
      </w:pPr>
      <w:r>
        <w:rPr>
          <w:sz w:val="28"/>
          <w:szCs w:val="28"/>
        </w:rPr>
        <w:t>+ Duy trì mê: Truyền nhỏ giọt 10-45 microgam/kg/phút (1-3mg/phút). Tốc độ truyền có thể thay đổi theo đáp ứng của bệnh nhân.</w:t>
      </w:r>
    </w:p>
    <w:p w14:paraId="09B3DF2C" w14:textId="079D6796" w:rsidR="00E24F80" w:rsidRPr="00C33925" w:rsidRDefault="00E24F80" w:rsidP="004F3F05">
      <w:pPr>
        <w:pStyle w:val="NormalWeb"/>
        <w:spacing w:before="0" w:beforeAutospacing="0" w:after="0" w:afterAutospacing="0" w:line="360" w:lineRule="auto"/>
        <w:ind w:firstLine="709"/>
        <w:contextualSpacing/>
        <w:jc w:val="both"/>
        <w:rPr>
          <w:sz w:val="28"/>
          <w:szCs w:val="28"/>
        </w:rPr>
      </w:pPr>
      <w:r>
        <w:rPr>
          <w:sz w:val="28"/>
          <w:szCs w:val="28"/>
        </w:rPr>
        <w:t>- Tiêm tĩnh mạch: liều ban đầu 1-4mg/kg. Tiêm tĩnh mạch chậm khoảng 60 giây, tiêm nhanh có thể gây suy hô hấp.</w:t>
      </w:r>
    </w:p>
    <w:p w14:paraId="6E52D658" w14:textId="77777777" w:rsidR="0033422C" w:rsidRDefault="006E2E82" w:rsidP="00694287">
      <w:pPr>
        <w:spacing w:before="120" w:after="0"/>
        <w:ind w:firstLine="709"/>
        <w:jc w:val="both"/>
        <w:rPr>
          <w:b/>
          <w:bCs/>
          <w:iCs/>
          <w:sz w:val="28"/>
          <w:szCs w:val="28"/>
        </w:rPr>
      </w:pPr>
      <w:r w:rsidRPr="006E2E82">
        <w:rPr>
          <w:b/>
          <w:bCs/>
          <w:iCs/>
          <w:sz w:val="28"/>
          <w:szCs w:val="28"/>
        </w:rPr>
        <w:t>Nguồn:</w:t>
      </w:r>
    </w:p>
    <w:p w14:paraId="7C48C30C" w14:textId="13924AF8" w:rsidR="006E2E82" w:rsidRPr="005715CD" w:rsidRDefault="00FF774D" w:rsidP="005715CD">
      <w:pPr>
        <w:spacing w:after="0" w:line="360" w:lineRule="auto"/>
        <w:ind w:firstLine="709"/>
        <w:jc w:val="both"/>
        <w:rPr>
          <w:i/>
          <w:sz w:val="26"/>
          <w:szCs w:val="26"/>
        </w:rPr>
      </w:pPr>
      <w:r w:rsidRPr="005715CD">
        <w:rPr>
          <w:i/>
          <w:sz w:val="26"/>
          <w:szCs w:val="26"/>
        </w:rPr>
        <w:t>http://canhgiacduoc.org.vn/CanhGiacDuoc/DiemTin/2430/ANSM-khuyen-cao-ve-viec-su-dung-hop-ly-ketamin.htm</w:t>
      </w:r>
    </w:p>
    <w:p w14:paraId="3971F667" w14:textId="177F2965" w:rsidR="0033422C" w:rsidRPr="005715CD" w:rsidRDefault="0033422C" w:rsidP="005715CD">
      <w:pPr>
        <w:spacing w:after="0" w:line="360" w:lineRule="auto"/>
        <w:ind w:firstLine="709"/>
        <w:jc w:val="both"/>
        <w:rPr>
          <w:i/>
          <w:iCs/>
          <w:sz w:val="26"/>
          <w:szCs w:val="26"/>
        </w:rPr>
      </w:pPr>
      <w:r w:rsidRPr="005715CD">
        <w:rPr>
          <w:i/>
          <w:iCs/>
          <w:sz w:val="26"/>
          <w:szCs w:val="26"/>
        </w:rPr>
        <w:t>https://ansm.sante.fr/actualites/lansm-rappelle-le-bon-usage-de-la-ketamine</w:t>
      </w:r>
    </w:p>
    <w:p w14:paraId="0463D300" w14:textId="018B19BE" w:rsidR="004510F4" w:rsidRPr="005715CD" w:rsidRDefault="004510F4" w:rsidP="005715CD">
      <w:pPr>
        <w:spacing w:after="0" w:line="360" w:lineRule="auto"/>
        <w:ind w:firstLine="709"/>
        <w:jc w:val="both"/>
        <w:rPr>
          <w:i/>
          <w:iCs/>
          <w:sz w:val="26"/>
          <w:szCs w:val="26"/>
        </w:rPr>
      </w:pPr>
      <w:r w:rsidRPr="005715CD">
        <w:rPr>
          <w:i/>
          <w:iCs/>
          <w:sz w:val="26"/>
          <w:szCs w:val="26"/>
        </w:rPr>
        <w:t>https://drugbank.vn/thuoc/Ketamine-Hydrochloride-injection&amp;VN-20611-17</w:t>
      </w:r>
    </w:p>
    <w:p w14:paraId="50673EBA" w14:textId="62A5E216" w:rsidR="003D2D46" w:rsidRPr="005715CD" w:rsidRDefault="003D2D46" w:rsidP="005715CD">
      <w:pPr>
        <w:spacing w:after="0" w:line="360" w:lineRule="auto"/>
        <w:ind w:firstLine="709"/>
        <w:jc w:val="both"/>
        <w:rPr>
          <w:i/>
          <w:iCs/>
          <w:sz w:val="26"/>
          <w:szCs w:val="26"/>
        </w:rPr>
      </w:pPr>
      <w:r w:rsidRPr="005715CD">
        <w:rPr>
          <w:i/>
          <w:iCs/>
          <w:sz w:val="26"/>
          <w:szCs w:val="26"/>
        </w:rPr>
        <w:t>Hướng dẫn sử dụng thuốc của Nhà sản xuất.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1375"/>
        <w:gridCol w:w="4667"/>
      </w:tblGrid>
      <w:tr w:rsidR="00902A4A" w14:paraId="1DF267F0" w14:textId="77777777" w:rsidTr="00EF6E23">
        <w:tc>
          <w:tcPr>
            <w:tcW w:w="3020" w:type="dxa"/>
          </w:tcPr>
          <w:p w14:paraId="64F9B0B8" w14:textId="77777777" w:rsidR="00902A4A" w:rsidRDefault="00902A4A"/>
        </w:tc>
        <w:tc>
          <w:tcPr>
            <w:tcW w:w="1375" w:type="dxa"/>
          </w:tcPr>
          <w:p w14:paraId="59FD6D77" w14:textId="77777777" w:rsidR="00902A4A" w:rsidRDefault="00902A4A"/>
        </w:tc>
        <w:tc>
          <w:tcPr>
            <w:tcW w:w="4667" w:type="dxa"/>
          </w:tcPr>
          <w:p w14:paraId="747F093F" w14:textId="77777777" w:rsidR="00933545" w:rsidRDefault="00933545" w:rsidP="00902A4A">
            <w:pPr>
              <w:jc w:val="center"/>
              <w:rPr>
                <w:b/>
                <w:sz w:val="28"/>
                <w:szCs w:val="28"/>
                <w:lang w:val="vi-VN"/>
              </w:rPr>
            </w:pPr>
          </w:p>
          <w:p w14:paraId="6A5D5A46" w14:textId="1CFB6C86" w:rsidR="00902A4A" w:rsidRPr="009409F2" w:rsidRDefault="00EF6E23" w:rsidP="00902A4A">
            <w:pPr>
              <w:jc w:val="center"/>
              <w:rPr>
                <w:b/>
                <w:sz w:val="28"/>
                <w:szCs w:val="28"/>
              </w:rPr>
            </w:pPr>
            <w:r w:rsidRPr="009409F2">
              <w:rPr>
                <w:b/>
                <w:sz w:val="28"/>
                <w:szCs w:val="28"/>
                <w:lang w:val="vi-VN"/>
              </w:rPr>
              <w:t>T</w:t>
            </w:r>
            <w:r w:rsidRPr="009409F2">
              <w:rPr>
                <w:b/>
                <w:sz w:val="28"/>
                <w:szCs w:val="28"/>
              </w:rPr>
              <w:t>ổ Thông tin thuốc – Dược lâm sàng</w:t>
            </w:r>
          </w:p>
          <w:p w14:paraId="1A5D2CCA" w14:textId="77777777" w:rsidR="000818C1" w:rsidRPr="009409F2" w:rsidRDefault="00EF6E23" w:rsidP="00902A4A">
            <w:pPr>
              <w:jc w:val="center"/>
              <w:rPr>
                <w:b/>
                <w:sz w:val="28"/>
                <w:szCs w:val="28"/>
              </w:rPr>
            </w:pPr>
            <w:r w:rsidRPr="009409F2">
              <w:rPr>
                <w:b/>
                <w:sz w:val="28"/>
                <w:szCs w:val="28"/>
              </w:rPr>
              <w:t>Bệnh viện Ung bướu Thanh Hóa</w:t>
            </w:r>
          </w:p>
          <w:p w14:paraId="038BF071" w14:textId="77777777" w:rsidR="000818C1" w:rsidRDefault="000818C1" w:rsidP="00902A4A">
            <w:pPr>
              <w:jc w:val="center"/>
              <w:rPr>
                <w:b/>
                <w:sz w:val="26"/>
                <w:szCs w:val="26"/>
                <w:lang w:val="vi-VN"/>
              </w:rPr>
            </w:pPr>
          </w:p>
          <w:p w14:paraId="2A93D53A" w14:textId="77777777" w:rsidR="000818C1" w:rsidRDefault="000818C1" w:rsidP="00902A4A">
            <w:pPr>
              <w:jc w:val="center"/>
              <w:rPr>
                <w:b/>
                <w:sz w:val="26"/>
                <w:szCs w:val="26"/>
                <w:lang w:val="vi-VN"/>
              </w:rPr>
            </w:pPr>
          </w:p>
          <w:p w14:paraId="0467D210" w14:textId="77777777" w:rsidR="000818C1" w:rsidRPr="00902A4A" w:rsidRDefault="000818C1" w:rsidP="00902A4A">
            <w:pPr>
              <w:jc w:val="center"/>
              <w:rPr>
                <w:b/>
                <w:sz w:val="26"/>
                <w:szCs w:val="26"/>
                <w:lang w:val="vi-VN"/>
              </w:rPr>
            </w:pPr>
          </w:p>
        </w:tc>
      </w:tr>
      <w:tr w:rsidR="00902A4A" w14:paraId="32612CDD" w14:textId="77777777" w:rsidTr="00EF6E23">
        <w:tc>
          <w:tcPr>
            <w:tcW w:w="3020" w:type="dxa"/>
          </w:tcPr>
          <w:p w14:paraId="778A1789" w14:textId="77777777" w:rsidR="00902A4A" w:rsidRDefault="00902A4A"/>
        </w:tc>
        <w:tc>
          <w:tcPr>
            <w:tcW w:w="1375" w:type="dxa"/>
          </w:tcPr>
          <w:p w14:paraId="07B5C933" w14:textId="77777777" w:rsidR="00902A4A" w:rsidRDefault="00902A4A"/>
        </w:tc>
        <w:tc>
          <w:tcPr>
            <w:tcW w:w="4667" w:type="dxa"/>
          </w:tcPr>
          <w:p w14:paraId="63F468B1" w14:textId="77777777" w:rsidR="00902A4A" w:rsidRPr="000818C1" w:rsidRDefault="00902A4A" w:rsidP="00EF6E23">
            <w:pPr>
              <w:rPr>
                <w:b/>
                <w:sz w:val="28"/>
                <w:szCs w:val="28"/>
                <w:lang w:val="vi-VN"/>
              </w:rPr>
            </w:pPr>
          </w:p>
        </w:tc>
      </w:tr>
    </w:tbl>
    <w:p w14:paraId="5502D69A" w14:textId="77777777" w:rsidR="00902A4A" w:rsidRDefault="00902A4A"/>
    <w:sectPr w:rsidR="00902A4A" w:rsidSect="0042346D">
      <w:pgSz w:w="11907" w:h="16840" w:code="9"/>
      <w:pgMar w:top="993"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FD2BE2"/>
    <w:multiLevelType w:val="multilevel"/>
    <w:tmpl w:val="7A745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A2B"/>
    <w:rsid w:val="00004C8B"/>
    <w:rsid w:val="000818C1"/>
    <w:rsid w:val="000C3465"/>
    <w:rsid w:val="001360CD"/>
    <w:rsid w:val="00207999"/>
    <w:rsid w:val="00266B87"/>
    <w:rsid w:val="0030459A"/>
    <w:rsid w:val="0033422C"/>
    <w:rsid w:val="00337FDE"/>
    <w:rsid w:val="003748A6"/>
    <w:rsid w:val="003D2D46"/>
    <w:rsid w:val="003E38C1"/>
    <w:rsid w:val="00421090"/>
    <w:rsid w:val="0042346D"/>
    <w:rsid w:val="00425EA2"/>
    <w:rsid w:val="004510F4"/>
    <w:rsid w:val="004F3F05"/>
    <w:rsid w:val="005715CD"/>
    <w:rsid w:val="005E5291"/>
    <w:rsid w:val="00643B0A"/>
    <w:rsid w:val="00683F30"/>
    <w:rsid w:val="00694287"/>
    <w:rsid w:val="006E2E82"/>
    <w:rsid w:val="006F23C5"/>
    <w:rsid w:val="00725519"/>
    <w:rsid w:val="008443BA"/>
    <w:rsid w:val="00846758"/>
    <w:rsid w:val="00875CE1"/>
    <w:rsid w:val="00902A4A"/>
    <w:rsid w:val="00933545"/>
    <w:rsid w:val="009409F2"/>
    <w:rsid w:val="0097731B"/>
    <w:rsid w:val="00991153"/>
    <w:rsid w:val="009A3EDB"/>
    <w:rsid w:val="009A4FEC"/>
    <w:rsid w:val="009D13E8"/>
    <w:rsid w:val="00A9328F"/>
    <w:rsid w:val="00AC44F2"/>
    <w:rsid w:val="00B64111"/>
    <w:rsid w:val="00BA063F"/>
    <w:rsid w:val="00BA6E8B"/>
    <w:rsid w:val="00C33925"/>
    <w:rsid w:val="00C6391C"/>
    <w:rsid w:val="00C961EC"/>
    <w:rsid w:val="00CE1A2B"/>
    <w:rsid w:val="00D80350"/>
    <w:rsid w:val="00DD0D45"/>
    <w:rsid w:val="00DD582D"/>
    <w:rsid w:val="00E03548"/>
    <w:rsid w:val="00E24F80"/>
    <w:rsid w:val="00E610AD"/>
    <w:rsid w:val="00EB2162"/>
    <w:rsid w:val="00EF6E23"/>
    <w:rsid w:val="00F04FD9"/>
    <w:rsid w:val="00F65CE2"/>
    <w:rsid w:val="00FF7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A0263"/>
  <w15:chartTrackingRefBased/>
  <w15:docId w15:val="{96DC9AAD-8451-42BF-A5B6-D6962A61C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2162"/>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1A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7999"/>
    <w:rPr>
      <w:color w:val="0563C1" w:themeColor="hyperlink"/>
      <w:u w:val="single"/>
    </w:rPr>
  </w:style>
  <w:style w:type="character" w:customStyle="1" w:styleId="UnresolvedMention">
    <w:name w:val="Unresolved Mention"/>
    <w:basedOn w:val="DefaultParagraphFont"/>
    <w:uiPriority w:val="99"/>
    <w:semiHidden/>
    <w:unhideWhenUsed/>
    <w:rsid w:val="00207999"/>
    <w:rPr>
      <w:color w:val="605E5C"/>
      <w:shd w:val="clear" w:color="auto" w:fill="E1DFDD"/>
    </w:rPr>
  </w:style>
  <w:style w:type="paragraph" w:styleId="NormalWeb">
    <w:name w:val="Normal (Web)"/>
    <w:basedOn w:val="Normal"/>
    <w:uiPriority w:val="99"/>
    <w:unhideWhenUsed/>
    <w:rsid w:val="00C6391C"/>
    <w:pPr>
      <w:spacing w:before="100" w:beforeAutospacing="1" w:after="100" w:afterAutospacing="1" w:line="240" w:lineRule="auto"/>
    </w:pPr>
  </w:style>
  <w:style w:type="character" w:styleId="Strong">
    <w:name w:val="Strong"/>
    <w:basedOn w:val="DefaultParagraphFont"/>
    <w:uiPriority w:val="22"/>
    <w:qFormat/>
    <w:rsid w:val="00C639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6293">
      <w:bodyDiv w:val="1"/>
      <w:marLeft w:val="0"/>
      <w:marRight w:val="0"/>
      <w:marTop w:val="0"/>
      <w:marBottom w:val="0"/>
      <w:divBdr>
        <w:top w:val="none" w:sz="0" w:space="0" w:color="auto"/>
        <w:left w:val="none" w:sz="0" w:space="0" w:color="auto"/>
        <w:bottom w:val="none" w:sz="0" w:space="0" w:color="auto"/>
        <w:right w:val="none" w:sz="0" w:space="0" w:color="auto"/>
      </w:divBdr>
    </w:div>
    <w:div w:id="19210150">
      <w:bodyDiv w:val="1"/>
      <w:marLeft w:val="0"/>
      <w:marRight w:val="0"/>
      <w:marTop w:val="0"/>
      <w:marBottom w:val="0"/>
      <w:divBdr>
        <w:top w:val="none" w:sz="0" w:space="0" w:color="auto"/>
        <w:left w:val="none" w:sz="0" w:space="0" w:color="auto"/>
        <w:bottom w:val="none" w:sz="0" w:space="0" w:color="auto"/>
        <w:right w:val="none" w:sz="0" w:space="0" w:color="auto"/>
      </w:divBdr>
      <w:divsChild>
        <w:div w:id="1437629068">
          <w:marLeft w:val="0"/>
          <w:marRight w:val="0"/>
          <w:marTop w:val="0"/>
          <w:marBottom w:val="0"/>
          <w:divBdr>
            <w:top w:val="none" w:sz="0" w:space="0" w:color="auto"/>
            <w:left w:val="none" w:sz="0" w:space="0" w:color="auto"/>
            <w:bottom w:val="none" w:sz="0" w:space="0" w:color="auto"/>
            <w:right w:val="none" w:sz="0" w:space="0" w:color="auto"/>
          </w:divBdr>
        </w:div>
      </w:divsChild>
    </w:div>
    <w:div w:id="396829875">
      <w:bodyDiv w:val="1"/>
      <w:marLeft w:val="0"/>
      <w:marRight w:val="0"/>
      <w:marTop w:val="0"/>
      <w:marBottom w:val="0"/>
      <w:divBdr>
        <w:top w:val="none" w:sz="0" w:space="0" w:color="auto"/>
        <w:left w:val="none" w:sz="0" w:space="0" w:color="auto"/>
        <w:bottom w:val="none" w:sz="0" w:space="0" w:color="auto"/>
        <w:right w:val="none" w:sz="0" w:space="0" w:color="auto"/>
      </w:divBdr>
    </w:div>
    <w:div w:id="547491743">
      <w:bodyDiv w:val="1"/>
      <w:marLeft w:val="0"/>
      <w:marRight w:val="0"/>
      <w:marTop w:val="0"/>
      <w:marBottom w:val="0"/>
      <w:divBdr>
        <w:top w:val="none" w:sz="0" w:space="0" w:color="auto"/>
        <w:left w:val="none" w:sz="0" w:space="0" w:color="auto"/>
        <w:bottom w:val="none" w:sz="0" w:space="0" w:color="auto"/>
        <w:right w:val="none" w:sz="0" w:space="0" w:color="auto"/>
      </w:divBdr>
      <w:divsChild>
        <w:div w:id="1152402805">
          <w:marLeft w:val="0"/>
          <w:marRight w:val="0"/>
          <w:marTop w:val="0"/>
          <w:marBottom w:val="0"/>
          <w:divBdr>
            <w:top w:val="none" w:sz="0" w:space="0" w:color="auto"/>
            <w:left w:val="none" w:sz="0" w:space="0" w:color="auto"/>
            <w:bottom w:val="none" w:sz="0" w:space="0" w:color="auto"/>
            <w:right w:val="none" w:sz="0" w:space="0" w:color="auto"/>
          </w:divBdr>
        </w:div>
        <w:div w:id="1201212284">
          <w:marLeft w:val="0"/>
          <w:marRight w:val="0"/>
          <w:marTop w:val="0"/>
          <w:marBottom w:val="0"/>
          <w:divBdr>
            <w:top w:val="none" w:sz="0" w:space="0" w:color="auto"/>
            <w:left w:val="none" w:sz="0" w:space="0" w:color="auto"/>
            <w:bottom w:val="none" w:sz="0" w:space="0" w:color="auto"/>
            <w:right w:val="none" w:sz="0" w:space="0" w:color="auto"/>
          </w:divBdr>
        </w:div>
      </w:divsChild>
    </w:div>
    <w:div w:id="762147695">
      <w:bodyDiv w:val="1"/>
      <w:marLeft w:val="0"/>
      <w:marRight w:val="0"/>
      <w:marTop w:val="0"/>
      <w:marBottom w:val="0"/>
      <w:divBdr>
        <w:top w:val="none" w:sz="0" w:space="0" w:color="auto"/>
        <w:left w:val="none" w:sz="0" w:space="0" w:color="auto"/>
        <w:bottom w:val="none" w:sz="0" w:space="0" w:color="auto"/>
        <w:right w:val="none" w:sz="0" w:space="0" w:color="auto"/>
      </w:divBdr>
    </w:div>
    <w:div w:id="951784002">
      <w:bodyDiv w:val="1"/>
      <w:marLeft w:val="0"/>
      <w:marRight w:val="0"/>
      <w:marTop w:val="0"/>
      <w:marBottom w:val="0"/>
      <w:divBdr>
        <w:top w:val="none" w:sz="0" w:space="0" w:color="auto"/>
        <w:left w:val="none" w:sz="0" w:space="0" w:color="auto"/>
        <w:bottom w:val="none" w:sz="0" w:space="0" w:color="auto"/>
        <w:right w:val="none" w:sz="0" w:space="0" w:color="auto"/>
      </w:divBdr>
    </w:div>
    <w:div w:id="1056053245">
      <w:bodyDiv w:val="1"/>
      <w:marLeft w:val="0"/>
      <w:marRight w:val="0"/>
      <w:marTop w:val="0"/>
      <w:marBottom w:val="0"/>
      <w:divBdr>
        <w:top w:val="none" w:sz="0" w:space="0" w:color="auto"/>
        <w:left w:val="none" w:sz="0" w:space="0" w:color="auto"/>
        <w:bottom w:val="none" w:sz="0" w:space="0" w:color="auto"/>
        <w:right w:val="none" w:sz="0" w:space="0" w:color="auto"/>
      </w:divBdr>
    </w:div>
    <w:div w:id="1182940446">
      <w:bodyDiv w:val="1"/>
      <w:marLeft w:val="0"/>
      <w:marRight w:val="0"/>
      <w:marTop w:val="0"/>
      <w:marBottom w:val="0"/>
      <w:divBdr>
        <w:top w:val="none" w:sz="0" w:space="0" w:color="auto"/>
        <w:left w:val="none" w:sz="0" w:space="0" w:color="auto"/>
        <w:bottom w:val="none" w:sz="0" w:space="0" w:color="auto"/>
        <w:right w:val="none" w:sz="0" w:space="0" w:color="auto"/>
      </w:divBdr>
      <w:divsChild>
        <w:div w:id="218056125">
          <w:marLeft w:val="0"/>
          <w:marRight w:val="0"/>
          <w:marTop w:val="0"/>
          <w:marBottom w:val="0"/>
          <w:divBdr>
            <w:top w:val="none" w:sz="0" w:space="0" w:color="auto"/>
            <w:left w:val="none" w:sz="0" w:space="0" w:color="auto"/>
            <w:bottom w:val="none" w:sz="0" w:space="0" w:color="auto"/>
            <w:right w:val="none" w:sz="0" w:space="0" w:color="auto"/>
          </w:divBdr>
        </w:div>
        <w:div w:id="1868521047">
          <w:marLeft w:val="0"/>
          <w:marRight w:val="0"/>
          <w:marTop w:val="0"/>
          <w:marBottom w:val="0"/>
          <w:divBdr>
            <w:top w:val="none" w:sz="0" w:space="0" w:color="auto"/>
            <w:left w:val="none" w:sz="0" w:space="0" w:color="auto"/>
            <w:bottom w:val="none" w:sz="0" w:space="0" w:color="auto"/>
            <w:right w:val="none" w:sz="0" w:space="0" w:color="auto"/>
          </w:divBdr>
        </w:div>
      </w:divsChild>
    </w:div>
    <w:div w:id="1283458690">
      <w:bodyDiv w:val="1"/>
      <w:marLeft w:val="0"/>
      <w:marRight w:val="0"/>
      <w:marTop w:val="0"/>
      <w:marBottom w:val="0"/>
      <w:divBdr>
        <w:top w:val="none" w:sz="0" w:space="0" w:color="auto"/>
        <w:left w:val="none" w:sz="0" w:space="0" w:color="auto"/>
        <w:bottom w:val="none" w:sz="0" w:space="0" w:color="auto"/>
        <w:right w:val="none" w:sz="0" w:space="0" w:color="auto"/>
      </w:divBdr>
    </w:div>
    <w:div w:id="1609393425">
      <w:bodyDiv w:val="1"/>
      <w:marLeft w:val="0"/>
      <w:marRight w:val="0"/>
      <w:marTop w:val="0"/>
      <w:marBottom w:val="0"/>
      <w:divBdr>
        <w:top w:val="none" w:sz="0" w:space="0" w:color="auto"/>
        <w:left w:val="none" w:sz="0" w:space="0" w:color="auto"/>
        <w:bottom w:val="none" w:sz="0" w:space="0" w:color="auto"/>
        <w:right w:val="none" w:sz="0" w:space="0" w:color="auto"/>
      </w:divBdr>
    </w:div>
    <w:div w:id="1752657985">
      <w:bodyDiv w:val="1"/>
      <w:marLeft w:val="0"/>
      <w:marRight w:val="0"/>
      <w:marTop w:val="0"/>
      <w:marBottom w:val="0"/>
      <w:divBdr>
        <w:top w:val="none" w:sz="0" w:space="0" w:color="auto"/>
        <w:left w:val="none" w:sz="0" w:space="0" w:color="auto"/>
        <w:bottom w:val="none" w:sz="0" w:space="0" w:color="auto"/>
        <w:right w:val="none" w:sz="0" w:space="0" w:color="auto"/>
      </w:divBdr>
    </w:div>
    <w:div w:id="1778212540">
      <w:bodyDiv w:val="1"/>
      <w:marLeft w:val="0"/>
      <w:marRight w:val="0"/>
      <w:marTop w:val="0"/>
      <w:marBottom w:val="0"/>
      <w:divBdr>
        <w:top w:val="none" w:sz="0" w:space="0" w:color="auto"/>
        <w:left w:val="none" w:sz="0" w:space="0" w:color="auto"/>
        <w:bottom w:val="none" w:sz="0" w:space="0" w:color="auto"/>
        <w:right w:val="none" w:sz="0" w:space="0" w:color="auto"/>
      </w:divBdr>
    </w:div>
    <w:div w:id="1858158124">
      <w:bodyDiv w:val="1"/>
      <w:marLeft w:val="0"/>
      <w:marRight w:val="0"/>
      <w:marTop w:val="0"/>
      <w:marBottom w:val="0"/>
      <w:divBdr>
        <w:top w:val="none" w:sz="0" w:space="0" w:color="auto"/>
        <w:left w:val="none" w:sz="0" w:space="0" w:color="auto"/>
        <w:bottom w:val="none" w:sz="0" w:space="0" w:color="auto"/>
        <w:right w:val="none" w:sz="0" w:space="0" w:color="auto"/>
      </w:divBdr>
    </w:div>
    <w:div w:id="1917663758">
      <w:bodyDiv w:val="1"/>
      <w:marLeft w:val="0"/>
      <w:marRight w:val="0"/>
      <w:marTop w:val="0"/>
      <w:marBottom w:val="0"/>
      <w:divBdr>
        <w:top w:val="none" w:sz="0" w:space="0" w:color="auto"/>
        <w:left w:val="none" w:sz="0" w:space="0" w:color="auto"/>
        <w:bottom w:val="none" w:sz="0" w:space="0" w:color="auto"/>
        <w:right w:val="none" w:sz="0" w:space="0" w:color="auto"/>
      </w:divBdr>
    </w:div>
    <w:div w:id="2014215650">
      <w:bodyDiv w:val="1"/>
      <w:marLeft w:val="0"/>
      <w:marRight w:val="0"/>
      <w:marTop w:val="0"/>
      <w:marBottom w:val="0"/>
      <w:divBdr>
        <w:top w:val="none" w:sz="0" w:space="0" w:color="auto"/>
        <w:left w:val="none" w:sz="0" w:space="0" w:color="auto"/>
        <w:bottom w:val="none" w:sz="0" w:space="0" w:color="auto"/>
        <w:right w:val="none" w:sz="0" w:space="0" w:color="auto"/>
      </w:divBdr>
      <w:divsChild>
        <w:div w:id="1291352743">
          <w:marLeft w:val="0"/>
          <w:marRight w:val="0"/>
          <w:marTop w:val="0"/>
          <w:marBottom w:val="0"/>
          <w:divBdr>
            <w:top w:val="none" w:sz="0" w:space="0" w:color="auto"/>
            <w:left w:val="none" w:sz="0" w:space="0" w:color="auto"/>
            <w:bottom w:val="none" w:sz="0" w:space="0" w:color="auto"/>
            <w:right w:val="none" w:sz="0" w:space="0" w:color="auto"/>
          </w:divBdr>
        </w:div>
        <w:div w:id="187914429">
          <w:marLeft w:val="0"/>
          <w:marRight w:val="0"/>
          <w:marTop w:val="0"/>
          <w:marBottom w:val="0"/>
          <w:divBdr>
            <w:top w:val="none" w:sz="0" w:space="0" w:color="auto"/>
            <w:left w:val="none" w:sz="0" w:space="0" w:color="auto"/>
            <w:bottom w:val="none" w:sz="0" w:space="0" w:color="auto"/>
            <w:right w:val="none" w:sz="0" w:space="0" w:color="auto"/>
          </w:divBdr>
        </w:div>
      </w:divsChild>
    </w:div>
    <w:div w:id="211894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CBD0B-CE7C-4E26-A536-97B5F17FF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Admin</cp:lastModifiedBy>
  <cp:revision>44</cp:revision>
  <cp:lastPrinted>2019-01-30T03:41:00Z</cp:lastPrinted>
  <dcterms:created xsi:type="dcterms:W3CDTF">2019-01-30T03:28:00Z</dcterms:created>
  <dcterms:modified xsi:type="dcterms:W3CDTF">2023-10-05T04:12:00Z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2023-04-15T12:00:15Z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ae46e1df-d695-42cf-893b-86cc2aa1942b</vt:lpwstr>
  </property>
  <property fmtid="{D5CDD505-2E9C-101B-9397-08002B2CF9AE}" pid="7" name="MSIP_Label_defa4170-0d19-0005-0004-bc88714345d2_ActionId">
    <vt:lpwstr>5f1d683a-ec59-49c3-ad83-a6e65bbe6636</vt:lpwstr>
  </property>
  <property fmtid="{D5CDD505-2E9C-101B-9397-08002B2CF9AE}" pid="8" name="MSIP_Label_defa4170-0d19-0005-0004-bc88714345d2_ContentBits">
    <vt:lpwstr>0</vt:lpwstr>
  </property>
</Properties>
</file>