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1"/>
      </w:tblGrid>
      <w:tr w:rsidR="00DD582D" w:rsidTr="00B64111">
        <w:tc>
          <w:tcPr>
            <w:tcW w:w="4678" w:type="dxa"/>
            <w:vAlign w:val="center"/>
          </w:tcPr>
          <w:p w:rsidR="00DD582D" w:rsidRPr="00DD582D" w:rsidRDefault="00DD582D" w:rsidP="00CE1A2B">
            <w:pPr>
              <w:spacing w:before="120"/>
              <w:jc w:val="center"/>
              <w:rPr>
                <w:sz w:val="26"/>
                <w:szCs w:val="26"/>
                <w:lang w:val="vi-VN"/>
              </w:rPr>
            </w:pPr>
            <w:r w:rsidRPr="00DD582D">
              <w:rPr>
                <w:sz w:val="26"/>
                <w:szCs w:val="26"/>
                <w:lang w:val="vi-VN"/>
              </w:rPr>
              <w:t>BỆNH VIỆN UNG BƯỚU THANH HÓA</w:t>
            </w:r>
          </w:p>
        </w:tc>
        <w:tc>
          <w:tcPr>
            <w:tcW w:w="5671" w:type="dxa"/>
            <w:vAlign w:val="center"/>
          </w:tcPr>
          <w:p w:rsidR="00DD582D" w:rsidRPr="00DD582D" w:rsidRDefault="00DD582D" w:rsidP="00CE1A2B">
            <w:pPr>
              <w:spacing w:before="120"/>
              <w:jc w:val="center"/>
              <w:rPr>
                <w:b/>
                <w:sz w:val="26"/>
                <w:szCs w:val="26"/>
                <w:lang w:val="vi-VN"/>
              </w:rPr>
            </w:pPr>
            <w:r w:rsidRPr="00DD582D">
              <w:rPr>
                <w:b/>
                <w:sz w:val="26"/>
                <w:szCs w:val="26"/>
                <w:lang w:val="vi-VN"/>
              </w:rPr>
              <w:t>CỘNG HÒA XÃ HỘI CHỦ NGHĨA VIỆT NAM</w:t>
            </w:r>
          </w:p>
        </w:tc>
      </w:tr>
      <w:tr w:rsidR="00DD582D" w:rsidTr="00B64111">
        <w:tc>
          <w:tcPr>
            <w:tcW w:w="4678" w:type="dxa"/>
            <w:vAlign w:val="center"/>
          </w:tcPr>
          <w:p w:rsidR="00DD582D" w:rsidRPr="00B64111" w:rsidRDefault="00DD582D" w:rsidP="00B64111">
            <w:pPr>
              <w:spacing w:before="60"/>
              <w:jc w:val="center"/>
              <w:rPr>
                <w:b/>
                <w:sz w:val="26"/>
                <w:szCs w:val="26"/>
                <w:lang w:val="vi-VN"/>
              </w:rPr>
            </w:pPr>
            <w:r w:rsidRPr="00B64111">
              <w:rPr>
                <w:b/>
                <w:sz w:val="26"/>
                <w:szCs w:val="26"/>
                <w:lang w:val="vi-VN"/>
              </w:rPr>
              <w:t>KHOA DƯỢC - VTYT</w:t>
            </w:r>
          </w:p>
        </w:tc>
        <w:tc>
          <w:tcPr>
            <w:tcW w:w="5671" w:type="dxa"/>
            <w:vAlign w:val="center"/>
          </w:tcPr>
          <w:p w:rsidR="00DD582D" w:rsidRPr="00DD582D" w:rsidRDefault="00DD582D" w:rsidP="00B64111">
            <w:pPr>
              <w:spacing w:before="60"/>
              <w:jc w:val="center"/>
              <w:rPr>
                <w:b/>
                <w:sz w:val="28"/>
                <w:szCs w:val="28"/>
                <w:lang w:val="vi-VN"/>
              </w:rPr>
            </w:pPr>
            <w:r>
              <w:rPr>
                <w:b/>
                <w:sz w:val="28"/>
                <w:szCs w:val="28"/>
                <w:lang w:val="vi-VN"/>
              </w:rPr>
              <w:t>Độc lập – Tự do – Hạnh phúc</w:t>
            </w:r>
          </w:p>
        </w:tc>
      </w:tr>
    </w:tbl>
    <w:p w:rsidR="00DD582D" w:rsidRDefault="00B64111" w:rsidP="00CE1A2B">
      <w:pPr>
        <w:shd w:val="clear" w:color="auto" w:fill="FFFFFF"/>
        <w:spacing w:before="120" w:after="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3339465</wp:posOffset>
                </wp:positionH>
                <wp:positionV relativeFrom="paragraph">
                  <wp:posOffset>28575</wp:posOffset>
                </wp:positionV>
                <wp:extent cx="1809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97F6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95pt,2.25pt" to="40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vAtQEAALcDAAAOAAAAZHJzL2Uyb0RvYy54bWysU8GOEzEMvSPxD1HudKa7Ap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" strokecolor="black [3200]" strokeweight=".5pt">
                <v:stroke joinstyle="miter"/>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28575</wp:posOffset>
                </wp:positionV>
                <wp:extent cx="1257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E77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2.25pt" to="12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" strokecolor="black [3200]" strokeweight=".5pt">
                <v:stroke joinstyle="miter"/>
              </v:line>
            </w:pict>
          </mc:Fallback>
        </mc:AlternateContent>
      </w:r>
    </w:p>
    <w:p w:rsidR="00CE1A2B" w:rsidRPr="00443AB9" w:rsidRDefault="00CE1A2B" w:rsidP="00443AB9">
      <w:pPr>
        <w:shd w:val="clear" w:color="auto" w:fill="FFFFFF"/>
        <w:spacing w:before="120"/>
        <w:jc w:val="center"/>
        <w:rPr>
          <w:b/>
          <w:sz w:val="32"/>
          <w:szCs w:val="32"/>
        </w:rPr>
      </w:pPr>
      <w:r w:rsidRPr="00B64111">
        <w:rPr>
          <w:b/>
          <w:sz w:val="32"/>
          <w:szCs w:val="32"/>
        </w:rPr>
        <w:t>THÔNG TIN THUỐC</w:t>
      </w:r>
    </w:p>
    <w:p w:rsidR="009A4FEC" w:rsidRPr="00EF6E23" w:rsidRDefault="00D56AC8" w:rsidP="00515398">
      <w:pPr>
        <w:spacing w:after="0"/>
        <w:jc w:val="center"/>
        <w:rPr>
          <w:b/>
        </w:rPr>
      </w:pPr>
      <w:r w:rsidRPr="00D56AC8">
        <w:rPr>
          <w:b/>
          <w:sz w:val="28"/>
          <w:szCs w:val="28"/>
        </w:rPr>
        <w:t>Tebipenem - kháng sinh carbapenem đường uống đầu tiên có triển vọng trong điều trị nhiễm khuẩn tiết niệu phức tạp</w:t>
      </w:r>
      <w:r w:rsidR="00CE1A2B" w:rsidRPr="00EF6E23">
        <w:rPr>
          <w:b/>
          <w:sz w:val="28"/>
          <w:szCs w:val="28"/>
        </w:rPr>
        <w:br/>
      </w:r>
    </w:p>
    <w:p w:rsidR="00883C7B" w:rsidRPr="00D56AC8" w:rsidRDefault="0018249B" w:rsidP="00883C7B">
      <w:pPr>
        <w:ind w:firstLine="720"/>
        <w:jc w:val="both"/>
        <w:rPr>
          <w:sz w:val="28"/>
          <w:szCs w:val="28"/>
        </w:rPr>
      </w:pPr>
      <w:r>
        <w:rPr>
          <w:sz w:val="28"/>
          <w:szCs w:val="28"/>
        </w:rPr>
        <w:t>K</w:t>
      </w:r>
      <w:r w:rsidR="00D56AC8" w:rsidRPr="00D56AC8">
        <w:rPr>
          <w:sz w:val="28"/>
          <w:szCs w:val="28"/>
        </w:rPr>
        <w:t>ết quả ngh</w:t>
      </w:r>
      <w:r w:rsidR="00D56AC8">
        <w:rPr>
          <w:sz w:val="28"/>
          <w:szCs w:val="28"/>
        </w:rPr>
        <w:t xml:space="preserve">iên cứu lâm sàng pha 3 trên Tạp chí Y khoa </w:t>
      </w:r>
      <w:r w:rsidR="00D56AC8" w:rsidRPr="00D56AC8">
        <w:rPr>
          <w:sz w:val="28"/>
          <w:szCs w:val="28"/>
        </w:rPr>
        <w:t>The New England Journal of Medicine (NEJM)</w:t>
      </w:r>
      <w:r>
        <w:rPr>
          <w:sz w:val="28"/>
          <w:szCs w:val="28"/>
        </w:rPr>
        <w:t xml:space="preserve">: </w:t>
      </w:r>
      <w:r w:rsidRPr="00D56AC8">
        <w:rPr>
          <w:sz w:val="28"/>
          <w:szCs w:val="28"/>
        </w:rPr>
        <w:t>Tebipenem - kháng sinh carbapenem đường uống đầu tiên có triển vọ</w:t>
      </w:r>
      <w:bookmarkStart w:id="0" w:name="_GoBack"/>
      <w:bookmarkEnd w:id="0"/>
      <w:r w:rsidRPr="00D56AC8">
        <w:rPr>
          <w:sz w:val="28"/>
          <w:szCs w:val="28"/>
        </w:rPr>
        <w:t>ng trong điều trị nhiễm kh</w:t>
      </w:r>
      <w:r>
        <w:rPr>
          <w:sz w:val="28"/>
          <w:szCs w:val="28"/>
        </w:rPr>
        <w:t>uẩn tiết niệu phức tạp (</w:t>
      </w:r>
      <w:r w:rsidRPr="00D56AC8">
        <w:rPr>
          <w:sz w:val="28"/>
          <w:szCs w:val="28"/>
        </w:rPr>
        <w:t>cUTI</w:t>
      </w:r>
      <w:r>
        <w:rPr>
          <w:sz w:val="28"/>
          <w:szCs w:val="28"/>
        </w:rPr>
        <w:t>).</w:t>
      </w:r>
    </w:p>
    <w:p w:rsidR="00D56AC8" w:rsidRPr="00D56AC8" w:rsidRDefault="00D56AC8" w:rsidP="00D56AC8">
      <w:pPr>
        <w:ind w:firstLine="720"/>
        <w:jc w:val="both"/>
        <w:rPr>
          <w:sz w:val="28"/>
          <w:szCs w:val="28"/>
        </w:rPr>
      </w:pPr>
      <w:r w:rsidRPr="00D56AC8">
        <w:rPr>
          <w:sz w:val="28"/>
          <w:szCs w:val="28"/>
        </w:rPr>
        <w:t>Tình hình đề kháng kháng sinh của các vi khuẩn Gram âm trong nhiễm khuẩn tiết niệu phức tạp và viêm đài bể thận cấp có xu hướng gia tăng nhưng may mắn tỷ lệ đề kháng với carbapenem còn ở mức độ tương đối thấp. Các kháng sinh đường uống hiện tại có 1 số hạn chế nhất định về độ an toàn (fluoroquinolon) hoặc khả năng thấm vào mô (nitrofurantoin và fosfomycin) có thể là yếu tố thuận lợi gia tăng thất bại điều trị và chọn lọc kháng thuốc.</w:t>
      </w:r>
    </w:p>
    <w:p w:rsidR="00EF6E23" w:rsidRPr="00EF6E23" w:rsidRDefault="00D56AC8" w:rsidP="00D56AC8">
      <w:pPr>
        <w:ind w:firstLine="720"/>
        <w:jc w:val="both"/>
        <w:rPr>
          <w:sz w:val="28"/>
          <w:szCs w:val="28"/>
        </w:rPr>
      </w:pPr>
      <w:r w:rsidRPr="00D56AC8">
        <w:rPr>
          <w:sz w:val="28"/>
          <w:szCs w:val="28"/>
        </w:rPr>
        <w:t>Tebipenem pivoxil hydrobromid là tiền thuốc có sinh khả dụng đường uống cao, sau đó được thủy phân thành tebipenem có hoạt tính tại các tế bào niêm mạc ruột, có phổ khá</w:t>
      </w:r>
      <w:r w:rsidR="0018249B">
        <w:rPr>
          <w:sz w:val="28"/>
          <w:szCs w:val="28"/>
        </w:rPr>
        <w:t>ng khuẩn rộng, bao gồm cả các vi khuẩn</w:t>
      </w:r>
      <w:r w:rsidRPr="00D56AC8">
        <w:rPr>
          <w:sz w:val="28"/>
          <w:szCs w:val="28"/>
        </w:rPr>
        <w:t xml:space="preserve"> đã k</w:t>
      </w:r>
      <w:r w:rsidR="0018249B">
        <w:rPr>
          <w:sz w:val="28"/>
          <w:szCs w:val="28"/>
        </w:rPr>
        <w:t>háng quinolon và sinh ESBL (</w:t>
      </w:r>
      <w:r w:rsidR="0018249B" w:rsidRPr="0018249B">
        <w:rPr>
          <w:sz w:val="28"/>
          <w:szCs w:val="28"/>
        </w:rPr>
        <w:t>enzyme đề kháng với phần lớn kháng sinh nhóm beta-lactam</w:t>
      </w:r>
      <w:r w:rsidR="0018249B">
        <w:rPr>
          <w:sz w:val="28"/>
          <w:szCs w:val="28"/>
        </w:rPr>
        <w:t>). Thử nghiệm lâm sàng</w:t>
      </w:r>
      <w:r w:rsidRPr="00D56AC8">
        <w:rPr>
          <w:sz w:val="28"/>
          <w:szCs w:val="28"/>
        </w:rPr>
        <w:t xml:space="preserve"> pha 3 của Eckburg và các cộng sự thực hiện trên gần 1400 bệnh nhân cUTI hoặc viêm đài bể thận cấp điều trị nội trú, được phân nhóm ngẫu nhiên sử dụng tebipenem pi</w:t>
      </w:r>
      <w:r w:rsidR="0018249B">
        <w:rPr>
          <w:sz w:val="28"/>
          <w:szCs w:val="28"/>
        </w:rPr>
        <w:t>voxil hydrobromid (600 mg mỗi 8</w:t>
      </w:r>
      <w:r w:rsidRPr="00D56AC8">
        <w:rPr>
          <w:sz w:val="28"/>
          <w:szCs w:val="28"/>
        </w:rPr>
        <w:t>h) hoặ</w:t>
      </w:r>
      <w:r w:rsidR="0018249B">
        <w:rPr>
          <w:sz w:val="28"/>
          <w:szCs w:val="28"/>
        </w:rPr>
        <w:t>c truyền tĩnh mạch ertapenem (1</w:t>
      </w:r>
      <w:r w:rsidRPr="00D56AC8">
        <w:rPr>
          <w:sz w:val="28"/>
          <w:szCs w:val="28"/>
        </w:rPr>
        <w:t>g mỗi 24 h) x 7-10 ngày (thời gian điều trị đến 14 ngày với các bệnh nhân có nhiễm khuẩn huyết). Kết quả cho thấy tebipenem uống không thua kém ertapenem truyển tĩnh mạch trên tiêu chí đánh giá hiệu quả chung (lâm sàng + vi sinh) đánh giá ở thời điểm kết thúc điều trị cũng như đánh giá tại lần tái khám. Không có sự k</w:t>
      </w:r>
      <w:r w:rsidR="0018249B">
        <w:rPr>
          <w:sz w:val="28"/>
          <w:szCs w:val="28"/>
        </w:rPr>
        <w:t>hác biệt về tác dụng không mong muốn</w:t>
      </w:r>
      <w:r w:rsidRPr="00D56AC8">
        <w:rPr>
          <w:sz w:val="28"/>
          <w:szCs w:val="28"/>
        </w:rPr>
        <w:t xml:space="preserve"> giữa 2 nhóm.</w:t>
      </w:r>
    </w:p>
    <w:p w:rsidR="00EF6E23" w:rsidRPr="00004C8B" w:rsidRDefault="006C4B0E" w:rsidP="00421090">
      <w:pPr>
        <w:jc w:val="right"/>
        <w:rPr>
          <w:i/>
          <w:sz w:val="20"/>
          <w:szCs w:val="20"/>
        </w:rPr>
      </w:pPr>
      <w:r w:rsidRPr="006C4B0E">
        <w:rPr>
          <w:i/>
          <w:sz w:val="20"/>
          <w:szCs w:val="20"/>
        </w:rPr>
        <w:t>http://canhgiacduoc.org.vn/CanhGiacDuoc/DiemTin/2139/EMA-Diem-tin-noi-bat-tu-cuoc-hop-cua-Uy-ban-Danh-gia-nguy-co-Canh-giac-Duoc-PRAC.htm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375"/>
        <w:gridCol w:w="4667"/>
      </w:tblGrid>
      <w:tr w:rsidR="00902A4A" w:rsidTr="00EF6E23">
        <w:tc>
          <w:tcPr>
            <w:tcW w:w="3020" w:type="dxa"/>
          </w:tcPr>
          <w:p w:rsidR="00902A4A" w:rsidRDefault="00902A4A"/>
        </w:tc>
        <w:tc>
          <w:tcPr>
            <w:tcW w:w="1375" w:type="dxa"/>
          </w:tcPr>
          <w:p w:rsidR="00902A4A" w:rsidRDefault="00902A4A"/>
        </w:tc>
        <w:tc>
          <w:tcPr>
            <w:tcW w:w="4667" w:type="dxa"/>
          </w:tcPr>
          <w:p w:rsidR="00902A4A" w:rsidRPr="009409F2" w:rsidRDefault="00EF6E23" w:rsidP="00902A4A">
            <w:pPr>
              <w:jc w:val="center"/>
              <w:rPr>
                <w:b/>
                <w:sz w:val="28"/>
                <w:szCs w:val="28"/>
              </w:rPr>
            </w:pPr>
            <w:r w:rsidRPr="009409F2">
              <w:rPr>
                <w:b/>
                <w:sz w:val="28"/>
                <w:szCs w:val="28"/>
                <w:lang w:val="vi-VN"/>
              </w:rPr>
              <w:t>T</w:t>
            </w:r>
            <w:r w:rsidRPr="009409F2">
              <w:rPr>
                <w:b/>
                <w:sz w:val="28"/>
                <w:szCs w:val="28"/>
              </w:rPr>
              <w:t>ổ Thông tin thuốc – Dược lâm sàng</w:t>
            </w:r>
          </w:p>
          <w:p w:rsidR="000818C1" w:rsidRPr="009409F2" w:rsidRDefault="00EF6E23" w:rsidP="00902A4A">
            <w:pPr>
              <w:jc w:val="center"/>
              <w:rPr>
                <w:b/>
                <w:sz w:val="28"/>
                <w:szCs w:val="28"/>
              </w:rPr>
            </w:pPr>
            <w:r w:rsidRPr="009409F2">
              <w:rPr>
                <w:b/>
                <w:sz w:val="28"/>
                <w:szCs w:val="28"/>
              </w:rPr>
              <w:t>Bệnh viện Ung bướu Thanh Hóa</w:t>
            </w:r>
          </w:p>
          <w:p w:rsidR="000818C1" w:rsidRDefault="000818C1" w:rsidP="00902A4A">
            <w:pPr>
              <w:jc w:val="center"/>
              <w:rPr>
                <w:b/>
                <w:sz w:val="26"/>
                <w:szCs w:val="26"/>
                <w:lang w:val="vi-VN"/>
              </w:rPr>
            </w:pPr>
          </w:p>
          <w:p w:rsidR="000818C1" w:rsidRDefault="000818C1" w:rsidP="00902A4A">
            <w:pPr>
              <w:jc w:val="center"/>
              <w:rPr>
                <w:b/>
                <w:sz w:val="26"/>
                <w:szCs w:val="26"/>
                <w:lang w:val="vi-VN"/>
              </w:rPr>
            </w:pPr>
          </w:p>
          <w:p w:rsidR="000818C1" w:rsidRPr="00902A4A" w:rsidRDefault="000818C1" w:rsidP="00902A4A">
            <w:pPr>
              <w:jc w:val="center"/>
              <w:rPr>
                <w:b/>
                <w:sz w:val="26"/>
                <w:szCs w:val="26"/>
                <w:lang w:val="vi-VN"/>
              </w:rPr>
            </w:pPr>
          </w:p>
        </w:tc>
      </w:tr>
      <w:tr w:rsidR="00902A4A" w:rsidTr="00EF6E23">
        <w:tc>
          <w:tcPr>
            <w:tcW w:w="3020" w:type="dxa"/>
          </w:tcPr>
          <w:p w:rsidR="00902A4A" w:rsidRDefault="00902A4A"/>
        </w:tc>
        <w:tc>
          <w:tcPr>
            <w:tcW w:w="1375" w:type="dxa"/>
          </w:tcPr>
          <w:p w:rsidR="00902A4A" w:rsidRDefault="00902A4A"/>
        </w:tc>
        <w:tc>
          <w:tcPr>
            <w:tcW w:w="4667" w:type="dxa"/>
          </w:tcPr>
          <w:p w:rsidR="00902A4A" w:rsidRPr="000818C1" w:rsidRDefault="00902A4A" w:rsidP="00EF6E23">
            <w:pPr>
              <w:rPr>
                <w:b/>
                <w:sz w:val="28"/>
                <w:szCs w:val="28"/>
                <w:lang w:val="vi-VN"/>
              </w:rPr>
            </w:pPr>
          </w:p>
        </w:tc>
      </w:tr>
    </w:tbl>
    <w:p w:rsidR="00902A4A" w:rsidRDefault="00902A4A"/>
    <w:sectPr w:rsidR="00902A4A"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2B"/>
    <w:rsid w:val="00004C8B"/>
    <w:rsid w:val="0002756E"/>
    <w:rsid w:val="000818C1"/>
    <w:rsid w:val="0018249B"/>
    <w:rsid w:val="00421090"/>
    <w:rsid w:val="00425EA2"/>
    <w:rsid w:val="00443AB9"/>
    <w:rsid w:val="00515398"/>
    <w:rsid w:val="005E68B9"/>
    <w:rsid w:val="006C4B0E"/>
    <w:rsid w:val="00846758"/>
    <w:rsid w:val="00875CE1"/>
    <w:rsid w:val="00883C7B"/>
    <w:rsid w:val="00902A4A"/>
    <w:rsid w:val="0091203F"/>
    <w:rsid w:val="009409F2"/>
    <w:rsid w:val="009A4FEC"/>
    <w:rsid w:val="00B64111"/>
    <w:rsid w:val="00CE1A2B"/>
    <w:rsid w:val="00D56AC8"/>
    <w:rsid w:val="00D80350"/>
    <w:rsid w:val="00DD582D"/>
    <w:rsid w:val="00E610AD"/>
    <w:rsid w:val="00EF6E23"/>
    <w:rsid w:val="00F04FD9"/>
    <w:rsid w:val="00F6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9AAD-8451-42BF-A5B6-D6962A6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2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8284">
      <w:bodyDiv w:val="1"/>
      <w:marLeft w:val="0"/>
      <w:marRight w:val="0"/>
      <w:marTop w:val="0"/>
      <w:marBottom w:val="0"/>
      <w:divBdr>
        <w:top w:val="none" w:sz="0" w:space="0" w:color="auto"/>
        <w:left w:val="none" w:sz="0" w:space="0" w:color="auto"/>
        <w:bottom w:val="none" w:sz="0" w:space="0" w:color="auto"/>
        <w:right w:val="none" w:sz="0" w:space="0" w:color="auto"/>
      </w:divBdr>
      <w:divsChild>
        <w:div w:id="1989554309">
          <w:marLeft w:val="0"/>
          <w:marRight w:val="0"/>
          <w:marTop w:val="120"/>
          <w:marBottom w:val="0"/>
          <w:divBdr>
            <w:top w:val="none" w:sz="0" w:space="0" w:color="auto"/>
            <w:left w:val="none" w:sz="0" w:space="0" w:color="auto"/>
            <w:bottom w:val="none" w:sz="0" w:space="0" w:color="auto"/>
            <w:right w:val="none" w:sz="0" w:space="0" w:color="auto"/>
          </w:divBdr>
          <w:divsChild>
            <w:div w:id="1291475867">
              <w:marLeft w:val="0"/>
              <w:marRight w:val="0"/>
              <w:marTop w:val="0"/>
              <w:marBottom w:val="0"/>
              <w:divBdr>
                <w:top w:val="none" w:sz="0" w:space="0" w:color="auto"/>
                <w:left w:val="none" w:sz="0" w:space="0" w:color="auto"/>
                <w:bottom w:val="none" w:sz="0" w:space="0" w:color="auto"/>
                <w:right w:val="none" w:sz="0" w:space="0" w:color="auto"/>
              </w:divBdr>
            </w:div>
          </w:divsChild>
        </w:div>
        <w:div w:id="75595385">
          <w:marLeft w:val="0"/>
          <w:marRight w:val="0"/>
          <w:marTop w:val="120"/>
          <w:marBottom w:val="0"/>
          <w:divBdr>
            <w:top w:val="none" w:sz="0" w:space="0" w:color="auto"/>
            <w:left w:val="none" w:sz="0" w:space="0" w:color="auto"/>
            <w:bottom w:val="none" w:sz="0" w:space="0" w:color="auto"/>
            <w:right w:val="none" w:sz="0" w:space="0" w:color="auto"/>
          </w:divBdr>
          <w:divsChild>
            <w:div w:id="1875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4002">
      <w:bodyDiv w:val="1"/>
      <w:marLeft w:val="0"/>
      <w:marRight w:val="0"/>
      <w:marTop w:val="0"/>
      <w:marBottom w:val="0"/>
      <w:divBdr>
        <w:top w:val="none" w:sz="0" w:space="0" w:color="auto"/>
        <w:left w:val="none" w:sz="0" w:space="0" w:color="auto"/>
        <w:bottom w:val="none" w:sz="0" w:space="0" w:color="auto"/>
        <w:right w:val="none" w:sz="0" w:space="0" w:color="auto"/>
      </w:divBdr>
    </w:div>
    <w:div w:id="1116218445">
      <w:bodyDiv w:val="1"/>
      <w:marLeft w:val="0"/>
      <w:marRight w:val="0"/>
      <w:marTop w:val="0"/>
      <w:marBottom w:val="0"/>
      <w:divBdr>
        <w:top w:val="none" w:sz="0" w:space="0" w:color="auto"/>
        <w:left w:val="none" w:sz="0" w:space="0" w:color="auto"/>
        <w:bottom w:val="none" w:sz="0" w:space="0" w:color="auto"/>
        <w:right w:val="none" w:sz="0" w:space="0" w:color="auto"/>
      </w:divBdr>
    </w:div>
    <w:div w:id="17526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F81E-3D89-4A19-9978-9A1B6640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Truong Giang</cp:lastModifiedBy>
  <cp:revision>18</cp:revision>
  <cp:lastPrinted>2019-01-30T03:41:00Z</cp:lastPrinted>
  <dcterms:created xsi:type="dcterms:W3CDTF">2019-01-30T03:28:00Z</dcterms:created>
  <dcterms:modified xsi:type="dcterms:W3CDTF">2022-04-11T00:56:00Z</dcterms:modified>
</cp:coreProperties>
</file>